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FF" w:rsidRPr="00F94B64" w:rsidRDefault="00662AFF" w:rsidP="00662AFF">
      <w:pPr>
        <w:autoSpaceDE w:val="0"/>
        <w:autoSpaceDN w:val="0"/>
        <w:adjustRightInd w:val="0"/>
        <w:rPr>
          <w:rFonts w:ascii="Calibri" w:hAnsi="Calibri" w:cs="Arial"/>
          <w:b/>
          <w:bCs/>
        </w:rPr>
      </w:pPr>
      <w:r w:rsidRPr="00F94B64">
        <w:rPr>
          <w:rFonts w:ascii="Calibri" w:hAnsi="Calibri" w:cs="Arial"/>
          <w:b/>
          <w:bCs/>
        </w:rPr>
        <w:t>TERMS OF REFERENCE FOR THE GENERAL TEACHING COUNCIL FOR NORTHERN IRELAND’S AUDIT AN</w:t>
      </w:r>
      <w:r>
        <w:rPr>
          <w:rFonts w:ascii="Calibri" w:hAnsi="Calibri" w:cs="Arial"/>
          <w:b/>
          <w:bCs/>
        </w:rPr>
        <w:t>D RISK ASSURANCE COMMITTEE (A&amp;RAC)</w:t>
      </w:r>
    </w:p>
    <w:p w:rsidR="00662AFF" w:rsidRPr="00F94B64" w:rsidRDefault="00662AFF" w:rsidP="00662AFF">
      <w:pPr>
        <w:autoSpaceDE w:val="0"/>
        <w:autoSpaceDN w:val="0"/>
        <w:adjustRightInd w:val="0"/>
        <w:rPr>
          <w:rFonts w:ascii="Calibri" w:hAnsi="Calibri" w:cs="Arial"/>
          <w:b/>
          <w:bCs/>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MEMBERSHIP</w:t>
      </w:r>
    </w:p>
    <w:p w:rsidR="00662AFF" w:rsidRPr="00F94B64" w:rsidRDefault="00662AFF" w:rsidP="00662AFF">
      <w:pPr>
        <w:autoSpaceDE w:val="0"/>
        <w:autoSpaceDN w:val="0"/>
        <w:adjustRightInd w:val="0"/>
        <w:spacing w:before="60" w:after="60"/>
        <w:jc w:val="both"/>
        <w:rPr>
          <w:rFonts w:ascii="Calibri" w:hAnsi="Calibri" w:cs="Arial"/>
          <w:sz w:val="22"/>
          <w:szCs w:val="22"/>
        </w:rPr>
      </w:pPr>
      <w:r>
        <w:rPr>
          <w:rFonts w:ascii="Calibri" w:hAnsi="Calibri" w:cs="Arial"/>
          <w:sz w:val="22"/>
          <w:szCs w:val="22"/>
        </w:rPr>
        <w:t>The members of the A&amp;RAC</w:t>
      </w:r>
      <w:r w:rsidRPr="00F94B64">
        <w:rPr>
          <w:rFonts w:ascii="Calibri" w:hAnsi="Calibri" w:cs="Arial"/>
          <w:sz w:val="22"/>
          <w:szCs w:val="22"/>
        </w:rPr>
        <w:t xml:space="preserve"> are:</w:t>
      </w:r>
    </w:p>
    <w:p w:rsidR="00662AFF" w:rsidRPr="006F3088" w:rsidRDefault="00C44E95" w:rsidP="00662AFF">
      <w:pPr>
        <w:pStyle w:val="ListParagraph"/>
        <w:numPr>
          <w:ilvl w:val="0"/>
          <w:numId w:val="8"/>
        </w:numPr>
        <w:autoSpaceDE w:val="0"/>
        <w:autoSpaceDN w:val="0"/>
        <w:adjustRightInd w:val="0"/>
        <w:spacing w:before="60" w:after="60"/>
        <w:jc w:val="both"/>
        <w:rPr>
          <w:rFonts w:ascii="Calibri" w:hAnsi="Calibri" w:cs="Arial"/>
          <w:sz w:val="22"/>
          <w:szCs w:val="22"/>
        </w:rPr>
      </w:pPr>
      <w:r>
        <w:rPr>
          <w:rFonts w:ascii="Calibri" w:hAnsi="Calibri" w:cs="Arial"/>
          <w:sz w:val="22"/>
          <w:szCs w:val="22"/>
        </w:rPr>
        <w:t xml:space="preserve"> </w:t>
      </w:r>
      <w:proofErr w:type="spellStart"/>
      <w:r>
        <w:rPr>
          <w:rFonts w:ascii="Calibri" w:hAnsi="Calibri" w:cs="Arial"/>
          <w:sz w:val="22"/>
          <w:szCs w:val="22"/>
        </w:rPr>
        <w:t>Ain</w:t>
      </w:r>
      <w:r>
        <w:rPr>
          <w:rFonts w:ascii="Calibri" w:hAnsi="Calibri" w:cs="Calibri"/>
          <w:sz w:val="22"/>
          <w:szCs w:val="22"/>
        </w:rPr>
        <w:t>é</w:t>
      </w:r>
      <w:proofErr w:type="spellEnd"/>
      <w:r>
        <w:rPr>
          <w:rFonts w:ascii="Calibri" w:hAnsi="Calibri" w:cs="Arial"/>
          <w:sz w:val="22"/>
          <w:szCs w:val="22"/>
        </w:rPr>
        <w:t xml:space="preserve"> Andrews, Dr David Baxter, Raymond Beggs, Geri Cameron, Paul O’Doherty, Susan Parlour, John Wilkinson</w:t>
      </w:r>
    </w:p>
    <w:tbl>
      <w:tblPr>
        <w:tblW w:w="8080" w:type="dxa"/>
        <w:tblCellMar>
          <w:left w:w="0" w:type="dxa"/>
          <w:right w:w="0" w:type="dxa"/>
        </w:tblCellMar>
        <w:tblLook w:val="04A0" w:firstRow="1" w:lastRow="0" w:firstColumn="1" w:lastColumn="0" w:noHBand="0" w:noVBand="1"/>
      </w:tblPr>
      <w:tblGrid>
        <w:gridCol w:w="8080"/>
      </w:tblGrid>
      <w:tr w:rsidR="00662AFF" w:rsidRPr="00E21ECB" w:rsidTr="008A4B55">
        <w:trPr>
          <w:trHeight w:val="80"/>
        </w:trPr>
        <w:tc>
          <w:tcPr>
            <w:tcW w:w="8080" w:type="dxa"/>
            <w:shd w:val="clear" w:color="auto" w:fill="FFFFFF"/>
            <w:noWrap/>
            <w:tcMar>
              <w:top w:w="0" w:type="dxa"/>
              <w:left w:w="108" w:type="dxa"/>
              <w:bottom w:w="0" w:type="dxa"/>
              <w:right w:w="108" w:type="dxa"/>
            </w:tcMar>
            <w:vAlign w:val="bottom"/>
          </w:tcPr>
          <w:p w:rsidR="00662AFF" w:rsidRPr="00E21ECB" w:rsidRDefault="00662AFF" w:rsidP="00662AFF">
            <w:pPr>
              <w:pStyle w:val="ListParagraph"/>
              <w:numPr>
                <w:ilvl w:val="0"/>
                <w:numId w:val="7"/>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 xml:space="preserve">Independent external members: </w:t>
            </w:r>
            <w:r>
              <w:rPr>
                <w:rFonts w:ascii="Calibri" w:hAnsi="Calibri" w:cs="Arial"/>
                <w:sz w:val="22"/>
                <w:szCs w:val="22"/>
              </w:rPr>
              <w:t>Trevor Salmon</w:t>
            </w:r>
          </w:p>
        </w:tc>
      </w:tr>
    </w:tbl>
    <w:p w:rsidR="00662AFF" w:rsidRPr="00F94B64" w:rsidRDefault="00662AFF" w:rsidP="00662AFF">
      <w:pPr>
        <w:autoSpaceDE w:val="0"/>
        <w:autoSpaceDN w:val="0"/>
        <w:adjustRightInd w:val="0"/>
        <w:rPr>
          <w:rFonts w:ascii="Calibri" w:hAnsi="Calibri" w:cs="Arial"/>
          <w:sz w:val="22"/>
          <w:szCs w:val="22"/>
        </w:rPr>
      </w:pPr>
    </w:p>
    <w:p w:rsidR="00662AFF" w:rsidRDefault="00662AFF" w:rsidP="00662AFF">
      <w:pPr>
        <w:autoSpaceDE w:val="0"/>
        <w:autoSpaceDN w:val="0"/>
        <w:adjustRightInd w:val="0"/>
        <w:jc w:val="both"/>
        <w:rPr>
          <w:rFonts w:ascii="Calibri" w:hAnsi="Calibri" w:cs="Arial"/>
          <w:sz w:val="22"/>
          <w:szCs w:val="22"/>
        </w:rPr>
      </w:pPr>
      <w:r w:rsidRPr="00F94B64">
        <w:rPr>
          <w:rFonts w:ascii="Calibri" w:hAnsi="Calibri" w:cs="Arial"/>
          <w:sz w:val="22"/>
          <w:szCs w:val="22"/>
        </w:rPr>
        <w:t>The A</w:t>
      </w:r>
      <w:r>
        <w:rPr>
          <w:rFonts w:ascii="Calibri" w:hAnsi="Calibri" w:cs="Arial"/>
          <w:sz w:val="22"/>
          <w:szCs w:val="22"/>
        </w:rPr>
        <w:t>&amp;</w:t>
      </w:r>
      <w:r w:rsidRPr="00F94B64">
        <w:rPr>
          <w:rFonts w:ascii="Calibri" w:hAnsi="Calibri" w:cs="Arial"/>
          <w:sz w:val="22"/>
          <w:szCs w:val="22"/>
        </w:rPr>
        <w:t>RA Committee will be provided with a secretariat</w:t>
      </w:r>
      <w:r>
        <w:rPr>
          <w:rFonts w:ascii="Calibri" w:hAnsi="Calibri" w:cs="Arial"/>
          <w:sz w:val="22"/>
          <w:szCs w:val="22"/>
        </w:rPr>
        <w:t xml:space="preserve"> function by the Executive Team.</w:t>
      </w:r>
    </w:p>
    <w:p w:rsidR="00662AFF" w:rsidRDefault="00662AFF" w:rsidP="00662AFF">
      <w:pPr>
        <w:autoSpaceDE w:val="0"/>
        <w:autoSpaceDN w:val="0"/>
        <w:adjustRightInd w:val="0"/>
        <w:jc w:val="both"/>
        <w:rPr>
          <w:rFonts w:ascii="Calibri" w:hAnsi="Calibri" w:cs="Arial"/>
          <w:sz w:val="22"/>
          <w:szCs w:val="22"/>
        </w:rPr>
      </w:pPr>
    </w:p>
    <w:p w:rsidR="00662AFF" w:rsidRPr="00C44E95" w:rsidRDefault="00662AFF" w:rsidP="00662AFF">
      <w:pPr>
        <w:autoSpaceDE w:val="0"/>
        <w:autoSpaceDN w:val="0"/>
        <w:adjustRightInd w:val="0"/>
        <w:rPr>
          <w:rFonts w:asciiTheme="minorHAnsi" w:hAnsiTheme="minorHAnsi" w:cstheme="minorHAnsi"/>
          <w:vertAlign w:val="superscript"/>
        </w:rPr>
      </w:pPr>
      <w:r w:rsidRPr="00C44E95">
        <w:rPr>
          <w:rFonts w:asciiTheme="minorHAnsi" w:hAnsiTheme="minorHAnsi" w:cstheme="minorHAnsi"/>
        </w:rPr>
        <w:t>The appointment to the offices of Chair and Vice Chair for Committees will be decided by members of said Committee by a majority vote. The term of office of Chair and Vice Chair of Council Committees shall be as determined by the Committee and be for a minimum period of two years.</w:t>
      </w:r>
    </w:p>
    <w:p w:rsidR="00662AFF" w:rsidRPr="00F94B64" w:rsidRDefault="00662AFF" w:rsidP="00662AFF">
      <w:pPr>
        <w:tabs>
          <w:tab w:val="num" w:pos="1080"/>
        </w:tabs>
        <w:autoSpaceDE w:val="0"/>
        <w:autoSpaceDN w:val="0"/>
        <w:adjustRightInd w:val="0"/>
        <w:rPr>
          <w:rFonts w:ascii="Calibri" w:hAnsi="Calibri" w:cs="Arial"/>
          <w:b/>
          <w:bCs/>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REPORTING</w:t>
      </w:r>
    </w:p>
    <w:p w:rsidR="00662AFF" w:rsidRPr="00F94B64" w:rsidRDefault="00662AFF" w:rsidP="00662AFF">
      <w:pPr>
        <w:numPr>
          <w:ilvl w:val="0"/>
          <w:numId w:val="3"/>
        </w:numPr>
        <w:autoSpaceDE w:val="0"/>
        <w:autoSpaceDN w:val="0"/>
        <w:adjustRightInd w:val="0"/>
        <w:spacing w:before="60" w:after="60"/>
        <w:jc w:val="both"/>
        <w:rPr>
          <w:rFonts w:ascii="Calibri" w:hAnsi="Calibri" w:cs="Arial"/>
          <w:sz w:val="22"/>
          <w:szCs w:val="22"/>
        </w:rPr>
      </w:pPr>
      <w:r>
        <w:rPr>
          <w:rFonts w:ascii="Calibri" w:hAnsi="Calibri" w:cs="Arial"/>
          <w:sz w:val="22"/>
          <w:szCs w:val="22"/>
        </w:rPr>
        <w:t xml:space="preserve">Each meeting of the Committee shall be reported to the Council and the minutes of such meetings circulated to the Council beforehand (corporate Governance Framework, Standing Orders Paragraph 5.1) </w:t>
      </w:r>
    </w:p>
    <w:p w:rsidR="00662AFF" w:rsidRPr="00F94B64" w:rsidRDefault="00662AFF" w:rsidP="00662AFF">
      <w:pPr>
        <w:numPr>
          <w:ilvl w:val="0"/>
          <w:numId w:val="3"/>
        </w:numPr>
        <w:autoSpaceDE w:val="0"/>
        <w:autoSpaceDN w:val="0"/>
        <w:adjustRightInd w:val="0"/>
        <w:spacing w:before="60" w:after="60"/>
        <w:jc w:val="both"/>
        <w:rPr>
          <w:rFonts w:ascii="Calibri" w:hAnsi="Calibri" w:cs="Arial"/>
          <w:sz w:val="22"/>
          <w:szCs w:val="22"/>
        </w:rPr>
      </w:pPr>
      <w:r>
        <w:rPr>
          <w:rFonts w:ascii="Calibri" w:hAnsi="Calibri" w:cs="Arial"/>
          <w:sz w:val="22"/>
          <w:szCs w:val="22"/>
        </w:rPr>
        <w:t>The A&amp;RAC</w:t>
      </w:r>
      <w:r w:rsidRPr="00F94B64">
        <w:rPr>
          <w:rFonts w:ascii="Calibri" w:hAnsi="Calibri" w:cs="Arial"/>
          <w:sz w:val="22"/>
          <w:szCs w:val="22"/>
        </w:rPr>
        <w:t xml:space="preserve"> will provide the Council and </w:t>
      </w:r>
      <w:r>
        <w:rPr>
          <w:rFonts w:ascii="Calibri" w:hAnsi="Calibri" w:cs="Arial"/>
          <w:sz w:val="22"/>
          <w:szCs w:val="22"/>
        </w:rPr>
        <w:t>Chief Executive/</w:t>
      </w:r>
      <w:r w:rsidRPr="00F94B64">
        <w:rPr>
          <w:rFonts w:ascii="Calibri" w:hAnsi="Calibri" w:cs="Arial"/>
          <w:sz w:val="22"/>
          <w:szCs w:val="22"/>
        </w:rPr>
        <w:t>Registrar with an Annual Report, timed to support finalisation of the accounts and the Governance Statement summarising its conclusions from the work it has done during the year.</w:t>
      </w:r>
    </w:p>
    <w:p w:rsidR="00662AFF" w:rsidRPr="00F94B64" w:rsidRDefault="00662AFF" w:rsidP="00662AFF">
      <w:pPr>
        <w:autoSpaceDE w:val="0"/>
        <w:autoSpaceDN w:val="0"/>
        <w:adjustRightInd w:val="0"/>
        <w:rPr>
          <w:rFonts w:ascii="Calibri" w:hAnsi="Calibri" w:cs="Arial"/>
          <w:b/>
          <w:bCs/>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RESPONSIBILITIES</w:t>
      </w:r>
    </w:p>
    <w:p w:rsidR="00662AFF" w:rsidRPr="00F94B64" w:rsidRDefault="00662AFF" w:rsidP="00662AFF">
      <w:pPr>
        <w:autoSpaceDE w:val="0"/>
        <w:autoSpaceDN w:val="0"/>
        <w:adjustRightInd w:val="0"/>
        <w:rPr>
          <w:rFonts w:ascii="Calibri" w:hAnsi="Calibri" w:cs="Arial"/>
          <w:b/>
          <w:bCs/>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The A</w:t>
      </w:r>
      <w:r>
        <w:rPr>
          <w:rFonts w:ascii="Calibri" w:hAnsi="Calibri" w:cs="Arial"/>
          <w:b/>
          <w:bCs/>
          <w:sz w:val="22"/>
          <w:szCs w:val="22"/>
        </w:rPr>
        <w:t>&amp;</w:t>
      </w:r>
      <w:r w:rsidRPr="00F94B64">
        <w:rPr>
          <w:rFonts w:ascii="Calibri" w:hAnsi="Calibri" w:cs="Arial"/>
          <w:b/>
          <w:bCs/>
          <w:sz w:val="22"/>
          <w:szCs w:val="22"/>
        </w:rPr>
        <w:t>RAC is an advisory committee with no executive powers or decision making role</w:t>
      </w:r>
      <w:r>
        <w:rPr>
          <w:rFonts w:ascii="Calibri" w:hAnsi="Calibri" w:cs="Arial"/>
          <w:b/>
          <w:bCs/>
          <w:sz w:val="22"/>
          <w:szCs w:val="22"/>
        </w:rPr>
        <w:t xml:space="preserve"> (Corporate Governance Framework, Standing Orders paragraph 34).</w:t>
      </w:r>
      <w:r w:rsidRPr="00F94B64">
        <w:rPr>
          <w:rFonts w:ascii="Calibri" w:hAnsi="Calibri" w:cs="Arial"/>
          <w:b/>
          <w:bCs/>
          <w:sz w:val="22"/>
          <w:szCs w:val="22"/>
        </w:rPr>
        <w:t xml:space="preserve"> It will advise the Council and </w:t>
      </w:r>
      <w:r>
        <w:rPr>
          <w:rFonts w:ascii="Calibri" w:hAnsi="Calibri" w:cs="Arial"/>
          <w:b/>
          <w:bCs/>
          <w:sz w:val="22"/>
          <w:szCs w:val="22"/>
        </w:rPr>
        <w:t>Chief Executive/</w:t>
      </w:r>
      <w:r w:rsidRPr="00F94B64">
        <w:rPr>
          <w:rFonts w:ascii="Calibri" w:hAnsi="Calibri" w:cs="Arial"/>
          <w:b/>
          <w:bCs/>
          <w:sz w:val="22"/>
          <w:szCs w:val="22"/>
        </w:rPr>
        <w:t>Reg</w:t>
      </w:r>
      <w:r>
        <w:rPr>
          <w:rFonts w:ascii="Calibri" w:hAnsi="Calibri" w:cs="Arial"/>
          <w:b/>
          <w:bCs/>
          <w:sz w:val="22"/>
          <w:szCs w:val="22"/>
        </w:rPr>
        <w:t xml:space="preserve">istrar on the following matters. </w:t>
      </w:r>
    </w:p>
    <w:p w:rsidR="00662AFF" w:rsidRPr="00F94B64" w:rsidRDefault="00662AFF" w:rsidP="00662AFF">
      <w:pPr>
        <w:autoSpaceDE w:val="0"/>
        <w:autoSpaceDN w:val="0"/>
        <w:adjustRightInd w:val="0"/>
        <w:spacing w:before="60" w:after="60"/>
        <w:ind w:left="360"/>
        <w:jc w:val="both"/>
        <w:rPr>
          <w:rFonts w:ascii="Calibri" w:hAnsi="Calibri" w:cs="Arial"/>
          <w:sz w:val="22"/>
          <w:szCs w:val="22"/>
        </w:rPr>
      </w:pPr>
      <w:r w:rsidRPr="00F94B64">
        <w:rPr>
          <w:rFonts w:ascii="Calibri" w:hAnsi="Calibri" w:cs="Arial"/>
          <w:sz w:val="22"/>
          <w:szCs w:val="22"/>
        </w:rPr>
        <w:t xml:space="preserve">            </w:t>
      </w:r>
    </w:p>
    <w:p w:rsidR="00662AFF" w:rsidRPr="00F94B64"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Strategic processes for risk, control and governance and the Governance Statement.</w:t>
      </w:r>
    </w:p>
    <w:p w:rsidR="00662AFF" w:rsidRPr="00F94B64"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The accounting policies, the accounts, and the annual report of the organisation, including the process for review of the accounts prior to submission for audit, levels of error identified, and management’s letter of representation to the external auditors.</w:t>
      </w:r>
    </w:p>
    <w:p w:rsidR="00662AFF" w:rsidRPr="00F94B64"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The planned activity and results of both internal and external audit.</w:t>
      </w:r>
    </w:p>
    <w:p w:rsidR="00662AFF" w:rsidRPr="00F94B64"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 xml:space="preserve">Adequacy of management response to issues identified by audit activity, including external audit’s management letter. </w:t>
      </w:r>
    </w:p>
    <w:p w:rsidR="00662AFF" w:rsidRPr="00F94B64"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Assurances relating to the management of risk and corporate governance requirements for the organisation.</w:t>
      </w:r>
    </w:p>
    <w:p w:rsidR="00662AFF" w:rsidRPr="00F94B64"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Where applicable, proposals for tendering for either Internal or External Audit services.</w:t>
      </w:r>
    </w:p>
    <w:p w:rsidR="00662AFF" w:rsidRPr="00F94B64"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Anti-fraud policies, whistle-blowing processes, and arrangements for special investigations.</w:t>
      </w:r>
    </w:p>
    <w:p w:rsidR="00662AFF" w:rsidRDefault="00662AFF" w:rsidP="00662AFF">
      <w:pPr>
        <w:numPr>
          <w:ilvl w:val="0"/>
          <w:numId w:val="1"/>
        </w:numPr>
        <w:autoSpaceDE w:val="0"/>
        <w:autoSpaceDN w:val="0"/>
        <w:adjustRightInd w:val="0"/>
        <w:ind w:left="0"/>
        <w:jc w:val="both"/>
        <w:rPr>
          <w:rFonts w:ascii="Calibri" w:hAnsi="Calibri" w:cs="Arial"/>
          <w:sz w:val="22"/>
          <w:szCs w:val="22"/>
        </w:rPr>
      </w:pPr>
      <w:r w:rsidRPr="00F94B64">
        <w:rPr>
          <w:rFonts w:ascii="Calibri" w:hAnsi="Calibri" w:cs="Arial"/>
          <w:sz w:val="22"/>
          <w:szCs w:val="22"/>
        </w:rPr>
        <w:t>The A</w:t>
      </w:r>
      <w:r>
        <w:rPr>
          <w:rFonts w:ascii="Calibri" w:hAnsi="Calibri" w:cs="Arial"/>
          <w:sz w:val="22"/>
          <w:szCs w:val="22"/>
        </w:rPr>
        <w:t>&amp;</w:t>
      </w:r>
      <w:r w:rsidRPr="00F94B64">
        <w:rPr>
          <w:rFonts w:ascii="Calibri" w:hAnsi="Calibri" w:cs="Arial"/>
          <w:sz w:val="22"/>
          <w:szCs w:val="22"/>
        </w:rPr>
        <w:t>RA Committee will also periodically review its own effectiveness and report the results of that review to the Council.</w:t>
      </w:r>
    </w:p>
    <w:p w:rsidR="00662AFF" w:rsidRPr="00407CD5" w:rsidRDefault="00662AFF" w:rsidP="00662AFF">
      <w:pPr>
        <w:autoSpaceDE w:val="0"/>
        <w:autoSpaceDN w:val="0"/>
        <w:adjustRightInd w:val="0"/>
        <w:jc w:val="both"/>
        <w:rPr>
          <w:rFonts w:asciiTheme="minorHAnsi" w:hAnsiTheme="minorHAnsi" w:cs="Arial"/>
          <w:sz w:val="22"/>
          <w:szCs w:val="22"/>
        </w:rPr>
      </w:pPr>
    </w:p>
    <w:p w:rsidR="00662AFF" w:rsidRPr="00407CD5" w:rsidRDefault="00662AFF" w:rsidP="00662AFF">
      <w:pPr>
        <w:autoSpaceDE w:val="0"/>
        <w:autoSpaceDN w:val="0"/>
        <w:rPr>
          <w:rFonts w:asciiTheme="minorHAnsi" w:hAnsiTheme="minorHAnsi"/>
          <w:sz w:val="22"/>
          <w:szCs w:val="22"/>
        </w:rPr>
      </w:pPr>
      <w:r>
        <w:rPr>
          <w:rFonts w:asciiTheme="minorHAnsi" w:hAnsiTheme="minorHAnsi"/>
          <w:sz w:val="22"/>
          <w:szCs w:val="22"/>
        </w:rPr>
        <w:t>The Committee has oversight</w:t>
      </w:r>
      <w:r w:rsidRPr="00407CD5">
        <w:rPr>
          <w:rFonts w:asciiTheme="minorHAnsi" w:hAnsiTheme="minorHAnsi"/>
          <w:sz w:val="22"/>
          <w:szCs w:val="22"/>
        </w:rPr>
        <w:t xml:space="preserve"> relevant to its remit provided these are not matters reserved b</w:t>
      </w:r>
      <w:r>
        <w:rPr>
          <w:rFonts w:asciiTheme="minorHAnsi" w:hAnsiTheme="minorHAnsi"/>
          <w:sz w:val="22"/>
          <w:szCs w:val="22"/>
        </w:rPr>
        <w:t>y the Council under paragraph XX</w:t>
      </w:r>
      <w:r w:rsidRPr="00407CD5">
        <w:rPr>
          <w:rFonts w:asciiTheme="minorHAnsi" w:hAnsiTheme="minorHAnsi"/>
          <w:sz w:val="22"/>
          <w:szCs w:val="22"/>
        </w:rPr>
        <w:t xml:space="preserve"> of Standing Orders.  Any Committee decision-making in relation to expenditure is subject to the approval of the Accounting Officer.</w:t>
      </w:r>
    </w:p>
    <w:p w:rsidR="00662AFF" w:rsidRPr="00407CD5" w:rsidRDefault="00662AFF" w:rsidP="00662AFF">
      <w:pPr>
        <w:autoSpaceDE w:val="0"/>
        <w:autoSpaceDN w:val="0"/>
        <w:rPr>
          <w:rFonts w:asciiTheme="minorHAnsi" w:hAnsiTheme="minorHAnsi"/>
          <w:sz w:val="22"/>
          <w:szCs w:val="22"/>
        </w:rPr>
      </w:pPr>
    </w:p>
    <w:p w:rsidR="00662AFF" w:rsidRPr="00407CD5" w:rsidRDefault="00662AFF" w:rsidP="00662AFF">
      <w:pPr>
        <w:autoSpaceDE w:val="0"/>
        <w:autoSpaceDN w:val="0"/>
        <w:rPr>
          <w:rFonts w:asciiTheme="minorHAnsi" w:hAnsiTheme="minorHAnsi"/>
          <w:sz w:val="22"/>
          <w:szCs w:val="22"/>
        </w:rPr>
      </w:pPr>
      <w:r w:rsidRPr="00407CD5">
        <w:rPr>
          <w:rFonts w:asciiTheme="minorHAnsi" w:hAnsiTheme="minorHAnsi"/>
          <w:sz w:val="22"/>
          <w:szCs w:val="22"/>
        </w:rPr>
        <w:lastRenderedPageBreak/>
        <w:t xml:space="preserve">Where a concern is raised at Committee about a decision being taken without Council approval, the Committee Chair and the Council Chair or Vice Chair should discuss and agree whether a referral is necessary. </w:t>
      </w:r>
    </w:p>
    <w:p w:rsidR="00662AFF" w:rsidRPr="00DC4B37" w:rsidRDefault="00662AFF" w:rsidP="00662AFF">
      <w:pPr>
        <w:autoSpaceDE w:val="0"/>
        <w:autoSpaceDN w:val="0"/>
        <w:adjustRightInd w:val="0"/>
        <w:jc w:val="both"/>
        <w:rPr>
          <w:rFonts w:ascii="Calibri" w:hAnsi="Calibri" w:cs="Arial"/>
          <w:b/>
          <w:sz w:val="22"/>
          <w:szCs w:val="22"/>
        </w:rPr>
      </w:pPr>
    </w:p>
    <w:p w:rsidR="00662AFF" w:rsidRDefault="00662AFF" w:rsidP="00662AFF">
      <w:pPr>
        <w:autoSpaceDE w:val="0"/>
        <w:autoSpaceDN w:val="0"/>
        <w:adjustRightInd w:val="0"/>
        <w:rPr>
          <w:rFonts w:ascii="Calibri" w:hAnsi="Calibri" w:cs="Arial"/>
          <w:b/>
          <w:bCs/>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RIGHTS</w:t>
      </w:r>
    </w:p>
    <w:p w:rsidR="00662AFF" w:rsidRPr="00F94B64" w:rsidRDefault="00662AFF" w:rsidP="00662AFF">
      <w:pPr>
        <w:numPr>
          <w:ilvl w:val="0"/>
          <w:numId w:val="4"/>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The A</w:t>
      </w:r>
      <w:r>
        <w:rPr>
          <w:rFonts w:ascii="Calibri" w:hAnsi="Calibri" w:cs="Arial"/>
          <w:sz w:val="22"/>
          <w:szCs w:val="22"/>
        </w:rPr>
        <w:t>&amp;</w:t>
      </w:r>
      <w:r w:rsidRPr="00F94B64">
        <w:rPr>
          <w:rFonts w:ascii="Calibri" w:hAnsi="Calibri" w:cs="Arial"/>
          <w:sz w:val="22"/>
          <w:szCs w:val="22"/>
        </w:rPr>
        <w:t>RA Committee may, further to consultation with Council:</w:t>
      </w:r>
    </w:p>
    <w:p w:rsidR="00662AFF" w:rsidRPr="00F94B64" w:rsidRDefault="00662AFF" w:rsidP="00662AFF">
      <w:pPr>
        <w:numPr>
          <w:ilvl w:val="0"/>
          <w:numId w:val="2"/>
        </w:numPr>
        <w:autoSpaceDE w:val="0"/>
        <w:autoSpaceDN w:val="0"/>
        <w:adjustRightInd w:val="0"/>
        <w:jc w:val="both"/>
        <w:rPr>
          <w:rFonts w:ascii="Calibri" w:hAnsi="Calibri" w:cs="Arial"/>
          <w:sz w:val="22"/>
          <w:szCs w:val="22"/>
        </w:rPr>
      </w:pPr>
      <w:r w:rsidRPr="00F94B64">
        <w:rPr>
          <w:rFonts w:ascii="Calibri" w:hAnsi="Calibri" w:cs="Arial"/>
          <w:sz w:val="22"/>
          <w:szCs w:val="22"/>
        </w:rPr>
        <w:t>co-opt additional members for a period not exceeding a year to provide specialist skills, knowledge and experience; and</w:t>
      </w:r>
    </w:p>
    <w:p w:rsidR="00662AFF" w:rsidRPr="00F94B64" w:rsidRDefault="00662AFF" w:rsidP="00662AFF">
      <w:pPr>
        <w:numPr>
          <w:ilvl w:val="0"/>
          <w:numId w:val="2"/>
        </w:numPr>
        <w:autoSpaceDE w:val="0"/>
        <w:autoSpaceDN w:val="0"/>
        <w:adjustRightInd w:val="0"/>
        <w:jc w:val="both"/>
        <w:rPr>
          <w:rFonts w:ascii="Calibri" w:hAnsi="Calibri" w:cs="Arial"/>
          <w:sz w:val="22"/>
          <w:szCs w:val="22"/>
        </w:rPr>
      </w:pPr>
      <w:proofErr w:type="gramStart"/>
      <w:r w:rsidRPr="00F94B64">
        <w:rPr>
          <w:rFonts w:ascii="Calibri" w:hAnsi="Calibri" w:cs="Arial"/>
          <w:sz w:val="22"/>
          <w:szCs w:val="22"/>
        </w:rPr>
        <w:t>procure</w:t>
      </w:r>
      <w:proofErr w:type="gramEnd"/>
      <w:r w:rsidRPr="00F94B64">
        <w:rPr>
          <w:rFonts w:ascii="Calibri" w:hAnsi="Calibri" w:cs="Arial"/>
          <w:sz w:val="22"/>
          <w:szCs w:val="22"/>
        </w:rPr>
        <w:t xml:space="preserve"> specialist ad-hoc advice at the expense of the organisation, subject to budgets agreed by the Council.</w:t>
      </w:r>
    </w:p>
    <w:p w:rsidR="00662AFF" w:rsidRPr="00F94B64" w:rsidRDefault="00662AFF" w:rsidP="00662AFF">
      <w:pPr>
        <w:autoSpaceDE w:val="0"/>
        <w:autoSpaceDN w:val="0"/>
        <w:adjustRightInd w:val="0"/>
        <w:rPr>
          <w:rFonts w:ascii="Calibri" w:hAnsi="Calibri" w:cs="Arial"/>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ACCESS</w:t>
      </w:r>
    </w:p>
    <w:p w:rsidR="00662AFF" w:rsidRPr="00F94B64" w:rsidRDefault="00662AFF" w:rsidP="00662AFF">
      <w:pPr>
        <w:numPr>
          <w:ilvl w:val="0"/>
          <w:numId w:val="4"/>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The Head of Internal Audit and the representative of External Audit will have free and confidential access to the Chair of the A</w:t>
      </w:r>
      <w:r>
        <w:rPr>
          <w:rFonts w:ascii="Calibri" w:hAnsi="Calibri" w:cs="Arial"/>
          <w:sz w:val="22"/>
          <w:szCs w:val="22"/>
        </w:rPr>
        <w:t>&amp;</w:t>
      </w:r>
      <w:r w:rsidRPr="00F94B64">
        <w:rPr>
          <w:rFonts w:ascii="Calibri" w:hAnsi="Calibri" w:cs="Arial"/>
          <w:sz w:val="22"/>
          <w:szCs w:val="22"/>
        </w:rPr>
        <w:t>RA Committee.</w:t>
      </w:r>
    </w:p>
    <w:p w:rsidR="00662AFF" w:rsidRPr="00F94B64" w:rsidRDefault="00662AFF" w:rsidP="00662AFF">
      <w:pPr>
        <w:autoSpaceDE w:val="0"/>
        <w:autoSpaceDN w:val="0"/>
        <w:adjustRightInd w:val="0"/>
        <w:rPr>
          <w:rFonts w:ascii="Calibri" w:hAnsi="Calibri" w:cs="Arial"/>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MEETINGS</w:t>
      </w:r>
    </w:p>
    <w:p w:rsidR="00662AFF" w:rsidRPr="00F94B64" w:rsidRDefault="00662AFF" w:rsidP="00662AFF">
      <w:pPr>
        <w:numPr>
          <w:ilvl w:val="0"/>
          <w:numId w:val="4"/>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The A</w:t>
      </w:r>
      <w:r>
        <w:rPr>
          <w:rFonts w:ascii="Calibri" w:hAnsi="Calibri" w:cs="Arial"/>
          <w:sz w:val="22"/>
          <w:szCs w:val="22"/>
        </w:rPr>
        <w:t>&amp;</w:t>
      </w:r>
      <w:r w:rsidRPr="00F94B64">
        <w:rPr>
          <w:rFonts w:ascii="Calibri" w:hAnsi="Calibri" w:cs="Arial"/>
          <w:sz w:val="22"/>
          <w:szCs w:val="22"/>
        </w:rPr>
        <w:t xml:space="preserve">RA Committee will meet at least </w:t>
      </w:r>
      <w:r w:rsidRPr="00F94B64">
        <w:rPr>
          <w:rFonts w:ascii="Calibri" w:hAnsi="Calibri" w:cs="Arial"/>
          <w:b/>
          <w:sz w:val="22"/>
          <w:szCs w:val="22"/>
        </w:rPr>
        <w:t>four</w:t>
      </w:r>
      <w:r w:rsidRPr="00F94B64">
        <w:rPr>
          <w:rFonts w:ascii="Calibri" w:hAnsi="Calibri" w:cs="Arial"/>
          <w:sz w:val="22"/>
          <w:szCs w:val="22"/>
        </w:rPr>
        <w:t xml:space="preserve"> times a year. The Chair of the A</w:t>
      </w:r>
      <w:r>
        <w:rPr>
          <w:rFonts w:ascii="Calibri" w:hAnsi="Calibri" w:cs="Arial"/>
          <w:sz w:val="22"/>
          <w:szCs w:val="22"/>
        </w:rPr>
        <w:t>&amp;</w:t>
      </w:r>
      <w:r w:rsidRPr="00F94B64">
        <w:rPr>
          <w:rFonts w:ascii="Calibri" w:hAnsi="Calibri" w:cs="Arial"/>
          <w:sz w:val="22"/>
          <w:szCs w:val="22"/>
        </w:rPr>
        <w:t>RA Committee may convene additional meetings, as they deem necessary.</w:t>
      </w:r>
    </w:p>
    <w:p w:rsidR="00662AFF" w:rsidRPr="00F94B64" w:rsidRDefault="00662AFF" w:rsidP="00662AFF">
      <w:pPr>
        <w:numPr>
          <w:ilvl w:val="0"/>
          <w:numId w:val="4"/>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A minimum of a third of the total membership of the A</w:t>
      </w:r>
      <w:r>
        <w:rPr>
          <w:rFonts w:ascii="Calibri" w:hAnsi="Calibri" w:cs="Arial"/>
          <w:sz w:val="22"/>
          <w:szCs w:val="22"/>
        </w:rPr>
        <w:t>&amp;</w:t>
      </w:r>
      <w:r w:rsidRPr="00F94B64">
        <w:rPr>
          <w:rFonts w:ascii="Calibri" w:hAnsi="Calibri" w:cs="Arial"/>
          <w:sz w:val="22"/>
          <w:szCs w:val="22"/>
        </w:rPr>
        <w:t>RA Committee will be present for the meeting to be deemed quorate.</w:t>
      </w:r>
    </w:p>
    <w:p w:rsidR="00662AFF" w:rsidRPr="00F94B64" w:rsidRDefault="00662AFF" w:rsidP="00662AFF">
      <w:pPr>
        <w:numPr>
          <w:ilvl w:val="0"/>
          <w:numId w:val="4"/>
        </w:numPr>
        <w:rPr>
          <w:rFonts w:ascii="Calibri" w:hAnsi="Calibri" w:cs="Arial"/>
          <w:i/>
          <w:color w:val="FF0000"/>
          <w:sz w:val="22"/>
          <w:szCs w:val="22"/>
        </w:rPr>
      </w:pPr>
      <w:r w:rsidRPr="00F94B64">
        <w:rPr>
          <w:rFonts w:ascii="Calibri" w:hAnsi="Calibri" w:cs="Arial"/>
          <w:sz w:val="22"/>
          <w:szCs w:val="22"/>
        </w:rPr>
        <w:t>A</w:t>
      </w:r>
      <w:r>
        <w:rPr>
          <w:rFonts w:ascii="Calibri" w:hAnsi="Calibri" w:cs="Arial"/>
          <w:sz w:val="22"/>
          <w:szCs w:val="22"/>
        </w:rPr>
        <w:t>&amp;</w:t>
      </w:r>
      <w:r w:rsidRPr="00F94B64">
        <w:rPr>
          <w:rFonts w:ascii="Calibri" w:hAnsi="Calibri" w:cs="Arial"/>
          <w:sz w:val="22"/>
          <w:szCs w:val="22"/>
        </w:rPr>
        <w:t xml:space="preserve">RA Committee meetings will normally be attended by the Registrar, the Head of Planning and Corporate Services, Head of Internal Audit, a representative of External Audit and a Department of Education observer. </w:t>
      </w:r>
    </w:p>
    <w:p w:rsidR="00662AFF" w:rsidRPr="00F94B64" w:rsidRDefault="00662AFF" w:rsidP="00662AFF">
      <w:pPr>
        <w:numPr>
          <w:ilvl w:val="0"/>
          <w:numId w:val="4"/>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The A</w:t>
      </w:r>
      <w:r>
        <w:rPr>
          <w:rFonts w:ascii="Calibri" w:hAnsi="Calibri" w:cs="Arial"/>
          <w:sz w:val="22"/>
          <w:szCs w:val="22"/>
        </w:rPr>
        <w:t>&amp;</w:t>
      </w:r>
      <w:r w:rsidRPr="00F94B64">
        <w:rPr>
          <w:rFonts w:ascii="Calibri" w:hAnsi="Calibri" w:cs="Arial"/>
          <w:sz w:val="22"/>
          <w:szCs w:val="22"/>
        </w:rPr>
        <w:t>RA Committee may ask any other officials of the organisation to attend to assist it with its discussions on any particular matter.</w:t>
      </w:r>
    </w:p>
    <w:p w:rsidR="00662AFF" w:rsidRPr="00F94B64" w:rsidRDefault="00662AFF" w:rsidP="00662AFF">
      <w:pPr>
        <w:numPr>
          <w:ilvl w:val="0"/>
          <w:numId w:val="4"/>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The A</w:t>
      </w:r>
      <w:r>
        <w:rPr>
          <w:rFonts w:ascii="Calibri" w:hAnsi="Calibri" w:cs="Arial"/>
          <w:sz w:val="22"/>
          <w:szCs w:val="22"/>
        </w:rPr>
        <w:t>&amp;</w:t>
      </w:r>
      <w:r w:rsidRPr="00F94B64">
        <w:rPr>
          <w:rFonts w:ascii="Calibri" w:hAnsi="Calibri" w:cs="Arial"/>
          <w:sz w:val="22"/>
          <w:szCs w:val="22"/>
        </w:rPr>
        <w:t>RA Committee may ask any or all of those who normally attend but who are not members to withdraw to facilitate open and frank discussion of particular matters.</w:t>
      </w:r>
    </w:p>
    <w:p w:rsidR="00662AFF" w:rsidRPr="00F94B64" w:rsidRDefault="00662AFF" w:rsidP="00662AFF">
      <w:pPr>
        <w:numPr>
          <w:ilvl w:val="0"/>
          <w:numId w:val="4"/>
        </w:numPr>
        <w:autoSpaceDE w:val="0"/>
        <w:autoSpaceDN w:val="0"/>
        <w:adjustRightInd w:val="0"/>
        <w:spacing w:before="60" w:after="60"/>
        <w:jc w:val="both"/>
        <w:rPr>
          <w:rFonts w:ascii="Calibri" w:hAnsi="Calibri" w:cs="Arial"/>
          <w:sz w:val="22"/>
          <w:szCs w:val="22"/>
        </w:rPr>
      </w:pPr>
      <w:r w:rsidRPr="00F94B64">
        <w:rPr>
          <w:rFonts w:ascii="Calibri" w:hAnsi="Calibri" w:cs="Arial"/>
          <w:sz w:val="22"/>
          <w:szCs w:val="22"/>
        </w:rPr>
        <w:t>The Council or the Registrar may ask the A</w:t>
      </w:r>
      <w:r>
        <w:rPr>
          <w:rFonts w:ascii="Calibri" w:hAnsi="Calibri" w:cs="Arial"/>
          <w:sz w:val="22"/>
          <w:szCs w:val="22"/>
        </w:rPr>
        <w:t>&amp;</w:t>
      </w:r>
      <w:r w:rsidRPr="00F94B64">
        <w:rPr>
          <w:rFonts w:ascii="Calibri" w:hAnsi="Calibri" w:cs="Arial"/>
          <w:sz w:val="22"/>
          <w:szCs w:val="22"/>
        </w:rPr>
        <w:t>RA Committee to convene further meetings to discuss particular issues on which they want the Committee’s advice.</w:t>
      </w:r>
    </w:p>
    <w:p w:rsidR="00662AFF" w:rsidRDefault="00662AFF" w:rsidP="00662AFF">
      <w:pPr>
        <w:autoSpaceDE w:val="0"/>
        <w:autoSpaceDN w:val="0"/>
        <w:adjustRightInd w:val="0"/>
        <w:rPr>
          <w:rFonts w:ascii="Calibri" w:hAnsi="Calibri" w:cs="Arial"/>
          <w:sz w:val="22"/>
          <w:szCs w:val="22"/>
        </w:rPr>
      </w:pPr>
    </w:p>
    <w:p w:rsidR="00662AFF" w:rsidRPr="0067318D" w:rsidRDefault="00662AFF" w:rsidP="00662AFF">
      <w:pPr>
        <w:autoSpaceDE w:val="0"/>
        <w:autoSpaceDN w:val="0"/>
        <w:adjustRightInd w:val="0"/>
        <w:rPr>
          <w:rFonts w:ascii="Calibri" w:hAnsi="Calibri" w:cs="Arial"/>
          <w:b/>
          <w:bCs/>
          <w:szCs w:val="22"/>
        </w:rPr>
      </w:pPr>
      <w:r>
        <w:rPr>
          <w:rFonts w:ascii="Calibri" w:hAnsi="Calibri" w:cs="Arial"/>
          <w:b/>
          <w:bCs/>
          <w:szCs w:val="22"/>
        </w:rPr>
        <w:t>EFFECTIVENESS REVIEW</w:t>
      </w:r>
    </w:p>
    <w:p w:rsidR="00662AFF" w:rsidRDefault="00662AFF" w:rsidP="00662AFF">
      <w:pPr>
        <w:autoSpaceDE w:val="0"/>
        <w:autoSpaceDN w:val="0"/>
        <w:adjustRightInd w:val="0"/>
        <w:rPr>
          <w:rFonts w:ascii="Calibri" w:hAnsi="Calibri" w:cs="Arial"/>
          <w:bCs/>
          <w:szCs w:val="22"/>
        </w:rPr>
      </w:pPr>
    </w:p>
    <w:p w:rsidR="00662AFF" w:rsidRDefault="00662AFF" w:rsidP="00662AFF">
      <w:pPr>
        <w:autoSpaceDE w:val="0"/>
        <w:autoSpaceDN w:val="0"/>
        <w:adjustRightInd w:val="0"/>
        <w:rPr>
          <w:rFonts w:ascii="Calibri" w:hAnsi="Calibri" w:cs="Arial"/>
          <w:bCs/>
          <w:szCs w:val="22"/>
        </w:rPr>
      </w:pPr>
      <w:r>
        <w:rPr>
          <w:rFonts w:ascii="Calibri" w:hAnsi="Calibri" w:cs="Arial"/>
          <w:bCs/>
          <w:szCs w:val="22"/>
        </w:rPr>
        <w:t xml:space="preserve">The Committee shall annually formally review its operational effectiveness and Terms of Reference. </w:t>
      </w:r>
    </w:p>
    <w:p w:rsidR="00662AFF" w:rsidRPr="00F94B64" w:rsidRDefault="00662AFF" w:rsidP="00662AFF">
      <w:pPr>
        <w:autoSpaceDE w:val="0"/>
        <w:autoSpaceDN w:val="0"/>
        <w:adjustRightInd w:val="0"/>
        <w:rPr>
          <w:rFonts w:ascii="Calibri" w:hAnsi="Calibri" w:cs="Arial"/>
          <w:sz w:val="22"/>
          <w:szCs w:val="22"/>
        </w:rPr>
      </w:pPr>
    </w:p>
    <w:p w:rsidR="00662AFF" w:rsidRPr="00F94B64" w:rsidRDefault="00662AFF" w:rsidP="00662AFF">
      <w:pPr>
        <w:autoSpaceDE w:val="0"/>
        <w:autoSpaceDN w:val="0"/>
        <w:adjustRightInd w:val="0"/>
        <w:rPr>
          <w:rFonts w:ascii="Calibri" w:hAnsi="Calibri" w:cs="Arial"/>
          <w:b/>
          <w:bCs/>
          <w:sz w:val="22"/>
          <w:szCs w:val="22"/>
        </w:rPr>
      </w:pPr>
      <w:r w:rsidRPr="00F94B64">
        <w:rPr>
          <w:rFonts w:ascii="Calibri" w:hAnsi="Calibri" w:cs="Arial"/>
          <w:b/>
          <w:bCs/>
          <w:sz w:val="22"/>
          <w:szCs w:val="22"/>
        </w:rPr>
        <w:t>INFORMATION REQUIREMENTS</w:t>
      </w:r>
    </w:p>
    <w:p w:rsidR="00662AFF" w:rsidRPr="00F94B64" w:rsidRDefault="00662AFF" w:rsidP="00662AFF">
      <w:pPr>
        <w:autoSpaceDE w:val="0"/>
        <w:autoSpaceDN w:val="0"/>
        <w:adjustRightInd w:val="0"/>
        <w:rPr>
          <w:rFonts w:ascii="Calibri" w:hAnsi="Calibri" w:cs="Arial"/>
          <w:sz w:val="22"/>
          <w:szCs w:val="22"/>
        </w:rPr>
      </w:pPr>
      <w:r w:rsidRPr="00F94B64">
        <w:rPr>
          <w:rFonts w:ascii="Calibri" w:hAnsi="Calibri" w:cs="Arial"/>
          <w:sz w:val="22"/>
          <w:szCs w:val="22"/>
        </w:rPr>
        <w:t>For each meeting the A</w:t>
      </w:r>
      <w:r>
        <w:rPr>
          <w:rFonts w:ascii="Calibri" w:hAnsi="Calibri" w:cs="Arial"/>
          <w:sz w:val="22"/>
          <w:szCs w:val="22"/>
        </w:rPr>
        <w:t>&amp;</w:t>
      </w:r>
      <w:r w:rsidRPr="00F94B64">
        <w:rPr>
          <w:rFonts w:ascii="Calibri" w:hAnsi="Calibri" w:cs="Arial"/>
          <w:sz w:val="22"/>
          <w:szCs w:val="22"/>
        </w:rPr>
        <w:t>RA C</w:t>
      </w:r>
      <w:r>
        <w:rPr>
          <w:rFonts w:ascii="Calibri" w:hAnsi="Calibri" w:cs="Arial"/>
          <w:sz w:val="22"/>
          <w:szCs w:val="22"/>
        </w:rPr>
        <w:t>ommittee will be provided (</w:t>
      </w:r>
      <w:r w:rsidRPr="00F94B64">
        <w:rPr>
          <w:rFonts w:ascii="Calibri" w:hAnsi="Calibri" w:cs="Arial"/>
          <w:sz w:val="22"/>
          <w:szCs w:val="22"/>
        </w:rPr>
        <w:t>ahead of the meeting) with:</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a report summarising any significant changes to the organisation’s strategic risks and a copy of the corporate Risk Register;</w:t>
      </w:r>
    </w:p>
    <w:p w:rsidR="00662AFF" w:rsidRPr="00F94B64" w:rsidRDefault="00662AFF" w:rsidP="00662AFF">
      <w:pPr>
        <w:autoSpaceDE w:val="0"/>
        <w:autoSpaceDN w:val="0"/>
        <w:adjustRightInd w:val="0"/>
        <w:ind w:left="720"/>
        <w:rPr>
          <w:rFonts w:ascii="Calibri" w:hAnsi="Calibri" w:cs="Arial"/>
          <w:sz w:val="22"/>
          <w:szCs w:val="22"/>
        </w:rPr>
      </w:pPr>
    </w:p>
    <w:p w:rsidR="00662AFF" w:rsidRPr="00F94B64" w:rsidRDefault="00662AFF" w:rsidP="00662AFF">
      <w:pPr>
        <w:numPr>
          <w:ilvl w:val="0"/>
          <w:numId w:val="5"/>
        </w:numPr>
        <w:autoSpaceDE w:val="0"/>
        <w:autoSpaceDN w:val="0"/>
        <w:adjustRightInd w:val="0"/>
        <w:ind w:hanging="294"/>
        <w:jc w:val="both"/>
        <w:rPr>
          <w:rFonts w:ascii="Calibri" w:hAnsi="Calibri" w:cs="Arial"/>
          <w:sz w:val="22"/>
          <w:szCs w:val="22"/>
        </w:rPr>
      </w:pPr>
      <w:r w:rsidRPr="00F94B64">
        <w:rPr>
          <w:rFonts w:ascii="Calibri" w:hAnsi="Calibri" w:cs="Arial"/>
          <w:sz w:val="22"/>
          <w:szCs w:val="22"/>
        </w:rPr>
        <w:t xml:space="preserve">a progress report from the Head of Internal Audit summarising </w:t>
      </w:r>
    </w:p>
    <w:p w:rsidR="00662AFF" w:rsidRPr="00F94B64" w:rsidRDefault="00662AFF" w:rsidP="00662AFF">
      <w:pPr>
        <w:autoSpaceDE w:val="0"/>
        <w:autoSpaceDN w:val="0"/>
        <w:adjustRightInd w:val="0"/>
        <w:rPr>
          <w:rFonts w:ascii="Calibri" w:hAnsi="Calibri" w:cs="Arial"/>
          <w:sz w:val="22"/>
          <w:szCs w:val="22"/>
        </w:rPr>
      </w:pPr>
    </w:p>
    <w:p w:rsidR="00662AFF" w:rsidRPr="00F94B64" w:rsidRDefault="00662AFF" w:rsidP="00662AFF">
      <w:pPr>
        <w:numPr>
          <w:ilvl w:val="0"/>
          <w:numId w:val="5"/>
        </w:numPr>
        <w:autoSpaceDE w:val="0"/>
        <w:autoSpaceDN w:val="0"/>
        <w:adjustRightInd w:val="0"/>
        <w:ind w:firstLine="556"/>
        <w:jc w:val="both"/>
        <w:rPr>
          <w:rFonts w:ascii="Calibri" w:hAnsi="Calibri" w:cs="Arial"/>
          <w:sz w:val="22"/>
          <w:szCs w:val="22"/>
        </w:rPr>
      </w:pPr>
      <w:r w:rsidRPr="00F94B64">
        <w:rPr>
          <w:rFonts w:ascii="Calibri" w:hAnsi="Calibri" w:cs="Arial"/>
          <w:sz w:val="22"/>
          <w:szCs w:val="22"/>
        </w:rPr>
        <w:t>work performed (and a comparison with work planned);</w:t>
      </w:r>
    </w:p>
    <w:p w:rsidR="00662AFF" w:rsidRPr="00F94B64" w:rsidRDefault="00662AFF" w:rsidP="00662AFF">
      <w:pPr>
        <w:numPr>
          <w:ilvl w:val="0"/>
          <w:numId w:val="5"/>
        </w:numPr>
        <w:autoSpaceDE w:val="0"/>
        <w:autoSpaceDN w:val="0"/>
        <w:adjustRightInd w:val="0"/>
        <w:ind w:firstLine="556"/>
        <w:jc w:val="both"/>
        <w:rPr>
          <w:rFonts w:ascii="Calibri" w:hAnsi="Calibri" w:cs="Arial"/>
          <w:sz w:val="22"/>
          <w:szCs w:val="22"/>
        </w:rPr>
      </w:pPr>
      <w:r w:rsidRPr="00F94B64">
        <w:rPr>
          <w:rFonts w:ascii="Calibri" w:hAnsi="Calibri" w:cs="Arial"/>
          <w:sz w:val="22"/>
          <w:szCs w:val="22"/>
        </w:rPr>
        <w:t>key issues emerging from Internal Audit;</w:t>
      </w:r>
    </w:p>
    <w:p w:rsidR="00662AFF" w:rsidRPr="00F94B64" w:rsidRDefault="00662AFF" w:rsidP="00662AFF">
      <w:pPr>
        <w:numPr>
          <w:ilvl w:val="0"/>
          <w:numId w:val="5"/>
        </w:numPr>
        <w:autoSpaceDE w:val="0"/>
        <w:autoSpaceDN w:val="0"/>
        <w:adjustRightInd w:val="0"/>
        <w:ind w:left="1276" w:firstLine="0"/>
        <w:jc w:val="both"/>
        <w:rPr>
          <w:rFonts w:ascii="Calibri" w:hAnsi="Calibri" w:cs="Arial"/>
          <w:sz w:val="22"/>
          <w:szCs w:val="22"/>
        </w:rPr>
      </w:pPr>
      <w:r w:rsidRPr="00F94B64">
        <w:rPr>
          <w:rFonts w:ascii="Calibri" w:hAnsi="Calibri" w:cs="Arial"/>
          <w:sz w:val="22"/>
          <w:szCs w:val="22"/>
        </w:rPr>
        <w:t>management response to audit recommendations;</w:t>
      </w:r>
    </w:p>
    <w:p w:rsidR="00662AFF" w:rsidRPr="00F94B64" w:rsidRDefault="00662AFF" w:rsidP="00662AFF">
      <w:pPr>
        <w:numPr>
          <w:ilvl w:val="0"/>
          <w:numId w:val="5"/>
        </w:numPr>
        <w:autoSpaceDE w:val="0"/>
        <w:autoSpaceDN w:val="0"/>
        <w:adjustRightInd w:val="0"/>
        <w:ind w:left="1134" w:firstLine="142"/>
        <w:jc w:val="both"/>
        <w:rPr>
          <w:rFonts w:ascii="Calibri" w:hAnsi="Calibri" w:cs="Arial"/>
          <w:sz w:val="22"/>
          <w:szCs w:val="22"/>
        </w:rPr>
      </w:pPr>
      <w:r w:rsidRPr="00F94B64">
        <w:rPr>
          <w:rFonts w:ascii="Calibri" w:hAnsi="Calibri" w:cs="Arial"/>
          <w:sz w:val="22"/>
          <w:szCs w:val="22"/>
        </w:rPr>
        <w:t>changes to the agreed internal audit plan; and</w:t>
      </w:r>
    </w:p>
    <w:p w:rsidR="00662AFF" w:rsidRPr="00F94B64" w:rsidRDefault="00662AFF" w:rsidP="00662AFF">
      <w:pPr>
        <w:numPr>
          <w:ilvl w:val="0"/>
          <w:numId w:val="5"/>
        </w:numPr>
        <w:autoSpaceDE w:val="0"/>
        <w:autoSpaceDN w:val="0"/>
        <w:adjustRightInd w:val="0"/>
        <w:ind w:left="1560" w:hanging="284"/>
        <w:jc w:val="both"/>
        <w:rPr>
          <w:rFonts w:ascii="Calibri" w:hAnsi="Calibri" w:cs="Arial"/>
          <w:sz w:val="22"/>
          <w:szCs w:val="22"/>
        </w:rPr>
      </w:pPr>
      <w:r w:rsidRPr="00F94B64">
        <w:rPr>
          <w:rFonts w:ascii="Calibri" w:hAnsi="Calibri" w:cs="Arial"/>
          <w:sz w:val="22"/>
          <w:szCs w:val="22"/>
        </w:rPr>
        <w:t>any resourcing issues affecting the delivery of the objective of Internal Audit;</w:t>
      </w:r>
    </w:p>
    <w:p w:rsidR="00662AFF" w:rsidRPr="00F94B64" w:rsidRDefault="00662AFF" w:rsidP="00662AFF">
      <w:pPr>
        <w:autoSpaceDE w:val="0"/>
        <w:autoSpaceDN w:val="0"/>
        <w:adjustRightInd w:val="0"/>
        <w:jc w:val="both"/>
        <w:rPr>
          <w:rFonts w:ascii="Calibri" w:hAnsi="Calibri" w:cs="Arial"/>
          <w:sz w:val="22"/>
          <w:szCs w:val="22"/>
        </w:rPr>
      </w:pPr>
    </w:p>
    <w:p w:rsidR="00662AFF" w:rsidRPr="00F94B64" w:rsidRDefault="00662AFF" w:rsidP="00662AFF">
      <w:pPr>
        <w:numPr>
          <w:ilvl w:val="0"/>
          <w:numId w:val="5"/>
        </w:numPr>
        <w:autoSpaceDE w:val="0"/>
        <w:autoSpaceDN w:val="0"/>
        <w:adjustRightInd w:val="0"/>
        <w:ind w:left="709" w:hanging="283"/>
        <w:jc w:val="both"/>
        <w:rPr>
          <w:rFonts w:ascii="Calibri" w:hAnsi="Calibri" w:cs="Arial"/>
          <w:sz w:val="22"/>
          <w:szCs w:val="22"/>
        </w:rPr>
      </w:pPr>
      <w:r w:rsidRPr="00F94B64">
        <w:rPr>
          <w:rFonts w:ascii="Calibri" w:hAnsi="Calibri" w:cs="Arial"/>
          <w:sz w:val="22"/>
          <w:szCs w:val="22"/>
        </w:rPr>
        <w:t>a progress report (written/verbal) from the External Audit representative summarising work done and emerging findings (this may include, where relevant to the organisation, aspects of the wider work carried out by the NIAO, for example, Value for Money reports and good practice findings);</w:t>
      </w:r>
    </w:p>
    <w:p w:rsidR="00662AFF" w:rsidRPr="00F94B64" w:rsidRDefault="00662AFF" w:rsidP="00662AFF">
      <w:pPr>
        <w:autoSpaceDE w:val="0"/>
        <w:autoSpaceDN w:val="0"/>
        <w:adjustRightInd w:val="0"/>
        <w:jc w:val="both"/>
        <w:rPr>
          <w:rFonts w:ascii="Calibri" w:hAnsi="Calibri" w:cs="Arial"/>
          <w:sz w:val="22"/>
          <w:szCs w:val="22"/>
        </w:rPr>
      </w:pPr>
    </w:p>
    <w:p w:rsidR="00662AFF" w:rsidRDefault="00662AFF" w:rsidP="00662AFF">
      <w:pPr>
        <w:numPr>
          <w:ilvl w:val="0"/>
          <w:numId w:val="5"/>
        </w:numPr>
        <w:autoSpaceDE w:val="0"/>
        <w:autoSpaceDN w:val="0"/>
        <w:adjustRightInd w:val="0"/>
        <w:ind w:left="709" w:hanging="283"/>
        <w:jc w:val="both"/>
        <w:rPr>
          <w:rFonts w:ascii="Calibri" w:hAnsi="Calibri" w:cs="Arial"/>
          <w:sz w:val="22"/>
          <w:szCs w:val="22"/>
        </w:rPr>
      </w:pPr>
      <w:proofErr w:type="gramStart"/>
      <w:r w:rsidRPr="00F94B64">
        <w:rPr>
          <w:rFonts w:ascii="Calibri" w:hAnsi="Calibri" w:cs="Arial"/>
          <w:sz w:val="22"/>
          <w:szCs w:val="22"/>
        </w:rPr>
        <w:t>any</w:t>
      </w:r>
      <w:proofErr w:type="gramEnd"/>
      <w:r w:rsidRPr="00F94B64">
        <w:rPr>
          <w:rFonts w:ascii="Calibri" w:hAnsi="Calibri" w:cs="Arial"/>
          <w:sz w:val="22"/>
          <w:szCs w:val="22"/>
        </w:rPr>
        <w:t xml:space="preserve"> management assurance reports; and reports on the management of major incidents, “near misses” and lesson learnt.</w:t>
      </w:r>
    </w:p>
    <w:p w:rsidR="00662AFF" w:rsidRDefault="00662AFF" w:rsidP="00662AFF">
      <w:pPr>
        <w:pStyle w:val="ListParagraph"/>
        <w:rPr>
          <w:rFonts w:ascii="Calibri" w:hAnsi="Calibri" w:cs="Arial"/>
          <w:sz w:val="22"/>
          <w:szCs w:val="22"/>
        </w:rPr>
      </w:pPr>
    </w:p>
    <w:p w:rsidR="00662AFF" w:rsidRPr="00F94B64" w:rsidRDefault="00662AFF" w:rsidP="00662AFF">
      <w:pPr>
        <w:autoSpaceDE w:val="0"/>
        <w:autoSpaceDN w:val="0"/>
        <w:adjustRightInd w:val="0"/>
        <w:rPr>
          <w:rFonts w:ascii="Calibri" w:hAnsi="Calibri" w:cs="Arial"/>
          <w:sz w:val="22"/>
          <w:szCs w:val="22"/>
        </w:rPr>
      </w:pPr>
      <w:r w:rsidRPr="00F94B64">
        <w:rPr>
          <w:rFonts w:ascii="Calibri" w:hAnsi="Calibri" w:cs="Arial"/>
          <w:sz w:val="22"/>
          <w:szCs w:val="22"/>
        </w:rPr>
        <w:t>As and when appropriate the Committee will also be provided with:</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proposals for the Terms of Reference of Internal Audit/the Internal Audit Charter;</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the Internal Audit Strategy;</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The Head of Int</w:t>
      </w:r>
      <w:r>
        <w:rPr>
          <w:rFonts w:ascii="Calibri" w:hAnsi="Calibri" w:cs="Arial"/>
          <w:sz w:val="22"/>
          <w:szCs w:val="22"/>
        </w:rPr>
        <w:t xml:space="preserve">ernal Audit’s Annual </w:t>
      </w:r>
      <w:r w:rsidRPr="00F94B64">
        <w:rPr>
          <w:rFonts w:ascii="Calibri" w:hAnsi="Calibri" w:cs="Arial"/>
          <w:sz w:val="22"/>
          <w:szCs w:val="22"/>
        </w:rPr>
        <w:t xml:space="preserve"> Report;</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quality assessment reports on the Internal Audit function;</w:t>
      </w:r>
    </w:p>
    <w:p w:rsidR="00662AFF"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 xml:space="preserve">the draft </w:t>
      </w:r>
      <w:r>
        <w:rPr>
          <w:rFonts w:ascii="Calibri" w:hAnsi="Calibri" w:cs="Arial"/>
          <w:sz w:val="22"/>
          <w:szCs w:val="22"/>
        </w:rPr>
        <w:t xml:space="preserve"> annual report and accounts of the organisation comprising:</w:t>
      </w:r>
    </w:p>
    <w:p w:rsidR="00662AFF" w:rsidRDefault="00662AFF" w:rsidP="00662AFF">
      <w:pPr>
        <w:autoSpaceDE w:val="0"/>
        <w:autoSpaceDN w:val="0"/>
        <w:adjustRightInd w:val="0"/>
        <w:ind w:left="720"/>
        <w:jc w:val="both"/>
        <w:rPr>
          <w:rFonts w:ascii="Calibri" w:hAnsi="Calibri" w:cs="Arial"/>
          <w:sz w:val="22"/>
          <w:szCs w:val="22"/>
        </w:rPr>
      </w:pPr>
    </w:p>
    <w:p w:rsidR="00662AFF" w:rsidRDefault="00662AFF" w:rsidP="00662AFF">
      <w:pPr>
        <w:numPr>
          <w:ilvl w:val="0"/>
          <w:numId w:val="6"/>
        </w:numPr>
        <w:autoSpaceDE w:val="0"/>
        <w:autoSpaceDN w:val="0"/>
        <w:adjustRightInd w:val="0"/>
        <w:jc w:val="both"/>
        <w:rPr>
          <w:rFonts w:ascii="Calibri" w:hAnsi="Calibri" w:cs="Arial"/>
          <w:sz w:val="22"/>
          <w:szCs w:val="22"/>
        </w:rPr>
      </w:pPr>
      <w:r>
        <w:rPr>
          <w:rFonts w:ascii="Calibri" w:hAnsi="Calibri" w:cs="Arial"/>
          <w:sz w:val="22"/>
          <w:szCs w:val="22"/>
        </w:rPr>
        <w:t>The Performance Report</w:t>
      </w:r>
    </w:p>
    <w:p w:rsidR="00662AFF" w:rsidRDefault="00662AFF" w:rsidP="00662AFF">
      <w:pPr>
        <w:numPr>
          <w:ilvl w:val="0"/>
          <w:numId w:val="6"/>
        </w:numPr>
        <w:autoSpaceDE w:val="0"/>
        <w:autoSpaceDN w:val="0"/>
        <w:adjustRightInd w:val="0"/>
        <w:jc w:val="both"/>
        <w:rPr>
          <w:rFonts w:ascii="Calibri" w:hAnsi="Calibri" w:cs="Arial"/>
          <w:sz w:val="22"/>
          <w:szCs w:val="22"/>
        </w:rPr>
      </w:pPr>
      <w:r>
        <w:rPr>
          <w:rFonts w:ascii="Calibri" w:hAnsi="Calibri" w:cs="Arial"/>
          <w:sz w:val="22"/>
          <w:szCs w:val="22"/>
        </w:rPr>
        <w:t>The Accountability Report</w:t>
      </w:r>
    </w:p>
    <w:p w:rsidR="00662AFF" w:rsidRPr="00F94B64" w:rsidRDefault="00662AFF" w:rsidP="00662AFF">
      <w:pPr>
        <w:numPr>
          <w:ilvl w:val="0"/>
          <w:numId w:val="6"/>
        </w:numPr>
        <w:autoSpaceDE w:val="0"/>
        <w:autoSpaceDN w:val="0"/>
        <w:adjustRightInd w:val="0"/>
        <w:jc w:val="both"/>
        <w:rPr>
          <w:rFonts w:ascii="Calibri" w:hAnsi="Calibri" w:cs="Arial"/>
          <w:sz w:val="22"/>
          <w:szCs w:val="22"/>
        </w:rPr>
      </w:pPr>
      <w:r>
        <w:rPr>
          <w:rFonts w:ascii="Calibri" w:hAnsi="Calibri" w:cs="Arial"/>
          <w:sz w:val="22"/>
          <w:szCs w:val="22"/>
        </w:rPr>
        <w:t>The Financial Statements</w:t>
      </w:r>
    </w:p>
    <w:p w:rsidR="00662AFF" w:rsidRPr="00F94B64" w:rsidRDefault="00662AFF" w:rsidP="00662AFF">
      <w:pPr>
        <w:autoSpaceDE w:val="0"/>
        <w:autoSpaceDN w:val="0"/>
        <w:adjustRightInd w:val="0"/>
        <w:ind w:left="720"/>
        <w:jc w:val="both"/>
        <w:rPr>
          <w:rFonts w:ascii="Calibri" w:hAnsi="Calibri" w:cs="Arial"/>
          <w:sz w:val="22"/>
          <w:szCs w:val="22"/>
        </w:rPr>
      </w:pP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a report on any changes to accounting policies;</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External Audit’s management letter;</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a report on any proposals to tender for audit functions; and</w:t>
      </w:r>
    </w:p>
    <w:p w:rsidR="00662AFF" w:rsidRPr="00F94B64"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 xml:space="preserve">a report on co-operation between </w:t>
      </w:r>
      <w:r>
        <w:rPr>
          <w:rFonts w:ascii="Calibri" w:hAnsi="Calibri" w:cs="Arial"/>
          <w:sz w:val="22"/>
          <w:szCs w:val="22"/>
        </w:rPr>
        <w:t xml:space="preserve">Internal and External Audit; </w:t>
      </w:r>
    </w:p>
    <w:p w:rsidR="00662AFF" w:rsidRDefault="00662AFF" w:rsidP="00662AFF">
      <w:pPr>
        <w:numPr>
          <w:ilvl w:val="0"/>
          <w:numId w:val="5"/>
        </w:numPr>
        <w:autoSpaceDE w:val="0"/>
        <w:autoSpaceDN w:val="0"/>
        <w:adjustRightInd w:val="0"/>
        <w:jc w:val="both"/>
        <w:rPr>
          <w:rFonts w:ascii="Calibri" w:hAnsi="Calibri" w:cs="Arial"/>
          <w:sz w:val="22"/>
          <w:szCs w:val="22"/>
        </w:rPr>
      </w:pPr>
      <w:r w:rsidRPr="00F94B64">
        <w:rPr>
          <w:rFonts w:ascii="Calibri" w:hAnsi="Calibri" w:cs="Arial"/>
          <w:sz w:val="22"/>
          <w:szCs w:val="22"/>
        </w:rPr>
        <w:t>the organisation’s Risk Management strategy</w:t>
      </w:r>
      <w:r>
        <w:rPr>
          <w:rFonts w:ascii="Calibri" w:hAnsi="Calibri" w:cs="Arial"/>
          <w:sz w:val="22"/>
          <w:szCs w:val="22"/>
        </w:rPr>
        <w:t>; and</w:t>
      </w:r>
    </w:p>
    <w:p w:rsidR="00662AFF" w:rsidRDefault="00662AFF" w:rsidP="00981819">
      <w:pPr>
        <w:numPr>
          <w:ilvl w:val="0"/>
          <w:numId w:val="5"/>
        </w:numPr>
        <w:autoSpaceDE w:val="0"/>
        <w:autoSpaceDN w:val="0"/>
        <w:adjustRightInd w:val="0"/>
        <w:jc w:val="both"/>
        <w:rPr>
          <w:rFonts w:ascii="Calibri" w:hAnsi="Calibri" w:cs="Arial"/>
          <w:sz w:val="22"/>
          <w:szCs w:val="22"/>
        </w:rPr>
      </w:pPr>
      <w:proofErr w:type="gramStart"/>
      <w:r w:rsidRPr="00981819">
        <w:rPr>
          <w:rFonts w:ascii="Calibri" w:hAnsi="Calibri" w:cs="Arial"/>
          <w:sz w:val="22"/>
          <w:szCs w:val="22"/>
        </w:rPr>
        <w:t>the</w:t>
      </w:r>
      <w:proofErr w:type="gramEnd"/>
      <w:r w:rsidRPr="00981819">
        <w:rPr>
          <w:rFonts w:ascii="Calibri" w:hAnsi="Calibri" w:cs="Arial"/>
          <w:sz w:val="22"/>
          <w:szCs w:val="22"/>
        </w:rPr>
        <w:t xml:space="preserve"> organisation’s Risk Register.</w:t>
      </w:r>
      <w:bookmarkStart w:id="0" w:name="_GoBack"/>
      <w:bookmarkEnd w:id="0"/>
    </w:p>
    <w:sectPr w:rsidR="00662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2172C"/>
    <w:multiLevelType w:val="hybridMultilevel"/>
    <w:tmpl w:val="2A846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0129D8"/>
    <w:multiLevelType w:val="hybridMultilevel"/>
    <w:tmpl w:val="4A644640"/>
    <w:lvl w:ilvl="0" w:tplc="6C10F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C77D7"/>
    <w:multiLevelType w:val="hybridMultilevel"/>
    <w:tmpl w:val="6AD29A04"/>
    <w:lvl w:ilvl="0" w:tplc="10C80844">
      <w:start w:val="1"/>
      <w:numFmt w:val="lowerRoman"/>
      <w:lvlText w:val="(%1)"/>
      <w:lvlJc w:val="left"/>
      <w:pPr>
        <w:ind w:left="1353" w:hanging="360"/>
      </w:pPr>
      <w:rPr>
        <w:rFonts w:ascii="Calibri" w:eastAsia="MS Mincho" w:hAnsi="Calibri" w:cs="Arial"/>
        <w:color w:val="00000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15:restartNumberingAfterBreak="0">
    <w:nsid w:val="4F3B5ED6"/>
    <w:multiLevelType w:val="hybridMultilevel"/>
    <w:tmpl w:val="E404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326E8"/>
    <w:multiLevelType w:val="hybridMultilevel"/>
    <w:tmpl w:val="92881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AD592E"/>
    <w:multiLevelType w:val="hybridMultilevel"/>
    <w:tmpl w:val="0F8A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B3975"/>
    <w:multiLevelType w:val="hybridMultilevel"/>
    <w:tmpl w:val="9C98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2C2FCC"/>
    <w:multiLevelType w:val="hybridMultilevel"/>
    <w:tmpl w:val="EE2C92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FF"/>
    <w:rsid w:val="005072DE"/>
    <w:rsid w:val="00662AFF"/>
    <w:rsid w:val="00981819"/>
    <w:rsid w:val="00C44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682C5-6EFA-4B31-A422-846610E9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FF"/>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A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Lesley Dickson</cp:lastModifiedBy>
  <cp:revision>3</cp:revision>
  <dcterms:created xsi:type="dcterms:W3CDTF">2020-05-15T12:38:00Z</dcterms:created>
  <dcterms:modified xsi:type="dcterms:W3CDTF">2020-05-15T12:42:00Z</dcterms:modified>
</cp:coreProperties>
</file>